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12</w:t>
      </w:r>
    </w:p>
    <w:p>
      <w:r>
        <w:t>Bundesgericht (BGE), 1976-02-11, DE</w:t>
      </w:r>
    </w:p>
    <w:p>
      <w:r>
        <w:rPr>
          <w:b/>
        </w:rPr>
        <w:t xml:space="preserve">Quelle: </w:t>
      </w:r>
      <w:r>
        <w:t>https://mcp.opencaselaw.ch/entscheid/bge_102 IV 12</w:t>
      </w:r>
    </w:p>
    <w:p>
      <w:r>
        <w:t>FR: ATF 102 IV 12</w:t>
      </w:r>
    </w:p>
    <w:p>
      <w:r>
        <w:t>IT: DTF 102 IV 12</w:t>
      </w:r>
    </w:p>
    <w:p>
      <w:pPr>
        <w:pStyle w:val="Heading2"/>
      </w:pPr>
      <w:r>
        <w:t>Regeste</w:t>
      </w:r>
    </w:p>
    <w:p>
      <w:r>
        <w:t>Regeste Verwahrung gemäss Art. 42 StGB Das Gesetz verlangt nicht, dass die vorsätzlichen Verbrechen oder Vergehen, die der Täter begangen hat oder von ihm in Zukunft zu erwarten sind, besonders schwer seien.</w:t>
      </w:r>
    </w:p>
    <w:p>
      <w:pPr>
        <w:pStyle w:val="Heading2"/>
      </w:pPr>
      <w:r>
        <w:t>Erwägungen</w:t>
      </w:r>
    </w:p>
    <w:p>
      <w:r>
        <w:rPr>
          <w:b/>
        </w:rPr>
        <w:t>E. 1</w:t>
      </w:r>
    </w:p>
    <w:p>
      <w:r>
        <w:t>Eine Verwahrung gemäss Art. 42 StGB setzt u.a. voraus, dass ein Täter schon zahlreiche Verbrechen oder Vergehen vorsätzlich verübt hat und ihm deswegen durch Zuchthaus- oder Gefängnisstrafen oder eine Arbeitserziehungsmassnahme oder eine Verwahrung als Gewohnheitsverbrecher die Freiheit während insgesamt mindestens zwei Jahren entzogen wurde; ferner dass er innert fünf Jahren seit der endgültigen Entlassung ein neues vorsätzliches Verbrechen oder Vergehen begeht (Ziff. 1 Abs. 1). b) Das Gesetz verlangt nicht, dass die vorsätzlichen Verbrechen oder Vergehen, die der Täter begangen hat oder die BGE 102 IV 12 S. 14 von ihm in Zukunft zu erwarten sind, besonders schwer seien. Es trifft zwar zu, dass nur ein geringer Teil der Gewohnheitsverbrecher sehr schwere Delikte begeht (siehe dazu die empirische Untersuchung von CHR. BRÜCKNER. Der Gewohnheitsverbrecher und die Verwahrung in der Schweiz gemäss Art. 42 StGB , 1971); doch will das Gesetz neben den sog. antisozialen auch die bloss asozialen Gewohnheitsverbrecher erfassen (H. SCHULTZ, ZBJV 106/1970, S. 20 f. und ZStR 88/1972, S. 36 ff.; J. REHBERG, ZStR 89/1973, S. 286 ff.; V. KURT, Kriminalistik 26/1972, S. 205; Botschaft des Bundesrates vom 1. März 1965, S. 14). Dies ergibt sich deutlich aus der Tatsache, dass die Verwahrung in offenen oder geschlossenen Anstalten vollzogen werden kann ( Art. 42 Ziff. 2 StGB ). In dieselbe Richtung weist die Entstehungsgeschichte des Art. 42 StGB . Der Antrag von Nationalrat Gerwig, die Verwahrung nur noch anzuordnen, "sofern dies erforderlich ist, um der Gefahr weiterer schwerer, bedeutsame Rechtsgüter betreffenden Straftaten zu begegnen", wurde abgelehnt, weil man darin eine zu starke Einschränkung der Verwahrungsvoraussetzungen sah (vgl. Sten.Bull. NR 1969, S. 110 ff.). c) Damit soll nun freilich nicht gesagt werden, dass die Schwere der früheren und der neuen Delikte völlig bedeutungslos ist. Denn sind die in Art. 42 Ziff. 1 Abs. 1 StGB erwähnten Voraussetzungen gegeben, so "kann" der Richter die Verwahrung anordnen. Demnach gilt entsprechend dem Grundsatz der Verhältnismässigkeit, dass je geringfügiger die zu erwartenden Straftaten sind, desto zurückhaltender die Anordnung einer Verwahrung erfolgen muss. Wie aber die Vorinstanz mit Recht feststellt, handelt es sich in casu nicht mehr um blosse Bagatelldelikte, auch wenn der materielle Schaden bei den einzelnen Taten oft verhältnismässig geringfügig war. Der Beschwerdeführer ist nämlich in einer Vielzahl von Fällen während mehreren Jahren darauf ausgegangen, in betrügerischer Weise die von anderen ihm gegenüber bekundete Hilfsbereitschaft zu missbrauchen. Unter diesen Umständen kann nicht von einem offensichtlichen Missverhältnis zwischen den begangenen Taten und der angeordneten Sanktion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